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D39" w:rsidRDefault="00D32D39" w:rsidP="00D32D39">
      <w:pPr>
        <w:spacing w:line="360" w:lineRule="auto"/>
        <w:jc w:val="left"/>
        <w:rPr>
          <w:rFonts w:eastAsia="华文中宋" w:hint="eastAsia"/>
          <w:b/>
          <w:bCs/>
          <w:sz w:val="24"/>
        </w:rPr>
      </w:pPr>
      <w:r>
        <w:rPr>
          <w:rFonts w:eastAsia="华文中宋" w:hint="eastAsia"/>
          <w:b/>
          <w:bCs/>
          <w:sz w:val="24"/>
        </w:rPr>
        <w:t>附件</w:t>
      </w:r>
      <w:r>
        <w:rPr>
          <w:rFonts w:eastAsia="华文中宋" w:hint="eastAsia"/>
          <w:b/>
          <w:bCs/>
          <w:sz w:val="24"/>
        </w:rPr>
        <w:t>2</w:t>
      </w:r>
      <w:r>
        <w:rPr>
          <w:rFonts w:eastAsia="华文中宋" w:hint="eastAsia"/>
          <w:b/>
          <w:bCs/>
          <w:sz w:val="24"/>
        </w:rPr>
        <w:t>：</w:t>
      </w:r>
    </w:p>
    <w:p w:rsidR="00D32D39" w:rsidRDefault="00D32D39" w:rsidP="00D32D39">
      <w:pPr>
        <w:widowControl/>
        <w:spacing w:afterLines="50" w:after="156" w:line="360" w:lineRule="auto"/>
        <w:jc w:val="center"/>
        <w:rPr>
          <w:rFonts w:cs="宋体" w:hint="eastAsia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北京交通大学海滨学院班级风采展示大赛评分细则</w:t>
      </w: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6947"/>
      </w:tblGrid>
      <w:tr w:rsidR="00D32D39" w:rsidTr="003756B7">
        <w:trPr>
          <w:trHeight w:val="994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评比项目及分值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spacing w:line="22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评</w:t>
            </w:r>
            <w:r>
              <w:rPr>
                <w:rFonts w:eastAsia="仿宋" w:hint="eastAsia"/>
                <w:b/>
                <w:sz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</w:rPr>
              <w:t>比</w:t>
            </w:r>
            <w:r>
              <w:rPr>
                <w:rFonts w:eastAsia="仿宋" w:hint="eastAsia"/>
                <w:b/>
                <w:sz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</w:rPr>
              <w:t>内</w:t>
            </w:r>
            <w:r>
              <w:rPr>
                <w:rFonts w:eastAsia="仿宋" w:hint="eastAsia"/>
                <w:b/>
                <w:sz w:val="24"/>
              </w:rPr>
              <w:t xml:space="preserve">  </w:t>
            </w:r>
            <w:r>
              <w:rPr>
                <w:rFonts w:eastAsia="仿宋" w:hint="eastAsia"/>
                <w:b/>
                <w:sz w:val="24"/>
              </w:rPr>
              <w:t>容</w:t>
            </w:r>
          </w:p>
        </w:tc>
      </w:tr>
      <w:tr w:rsidR="00D32D39" w:rsidTr="003756B7">
        <w:trPr>
          <w:trHeight w:val="1997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一、班风建设</w:t>
            </w:r>
          </w:p>
          <w:p w:rsidR="00D32D39" w:rsidRDefault="00D32D39" w:rsidP="003756B7">
            <w:pPr>
              <w:spacing w:line="220" w:lineRule="exact"/>
              <w:ind w:firstLineChars="150" w:firstLine="361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18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1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班级同学思想积极上进，坚持社会主义核心价值观，有社会责任感；</w:t>
            </w:r>
          </w:p>
          <w:p w:rsidR="00D32D39" w:rsidRDefault="00D32D39" w:rsidP="003756B7">
            <w:pPr>
              <w:numPr>
                <w:ilvl w:val="0"/>
                <w:numId w:val="1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认真组织班级同学学习马克思列宁主义、毛泽东思想、中国特色社会主义理论体系，并深入学</w:t>
            </w:r>
            <w:proofErr w:type="gramStart"/>
            <w:r>
              <w:rPr>
                <w:rFonts w:eastAsia="仿宋" w:hint="eastAsia"/>
                <w:sz w:val="24"/>
              </w:rPr>
              <w:t>习习近</w:t>
            </w:r>
            <w:proofErr w:type="gramEnd"/>
            <w:r>
              <w:rPr>
                <w:rFonts w:eastAsia="仿宋" w:hint="eastAsia"/>
                <w:sz w:val="24"/>
              </w:rPr>
              <w:t>平总书记系列重要讲话精神和治国</w:t>
            </w:r>
            <w:proofErr w:type="gramStart"/>
            <w:r>
              <w:rPr>
                <w:rFonts w:eastAsia="仿宋" w:hint="eastAsia"/>
                <w:sz w:val="24"/>
              </w:rPr>
              <w:t>理政新理念</w:t>
            </w:r>
            <w:proofErr w:type="gramEnd"/>
            <w:r>
              <w:rPr>
                <w:rFonts w:eastAsia="仿宋" w:hint="eastAsia"/>
                <w:sz w:val="24"/>
              </w:rPr>
              <w:t>新思想新战略；</w:t>
            </w:r>
          </w:p>
          <w:p w:rsidR="00D32D39" w:rsidRDefault="00D32D39" w:rsidP="003756B7">
            <w:pPr>
              <w:numPr>
                <w:ilvl w:val="0"/>
                <w:numId w:val="1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积极组织各种思想教育活动；</w:t>
            </w:r>
          </w:p>
          <w:p w:rsidR="00D32D39" w:rsidRDefault="00D32D39" w:rsidP="003756B7">
            <w:pPr>
              <w:numPr>
                <w:ilvl w:val="0"/>
                <w:numId w:val="1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同学间团结友爱、互助，班级风气良好。</w:t>
            </w:r>
          </w:p>
        </w:tc>
      </w:tr>
      <w:tr w:rsidR="00D32D39" w:rsidTr="003756B7">
        <w:trPr>
          <w:trHeight w:val="1707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二、学风建设</w:t>
            </w:r>
          </w:p>
          <w:p w:rsidR="00D32D39" w:rsidRDefault="00D32D39" w:rsidP="003756B7">
            <w:pPr>
              <w:spacing w:line="220" w:lineRule="exact"/>
              <w:ind w:firstLineChars="150" w:firstLine="361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18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2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学习态度端正，有明确的学习目的、学习目标，班级学风优良；</w:t>
            </w:r>
          </w:p>
          <w:p w:rsidR="00D32D39" w:rsidRDefault="00D32D39" w:rsidP="003756B7">
            <w:pPr>
              <w:numPr>
                <w:ilvl w:val="0"/>
                <w:numId w:val="2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学习效果好，学习成绩排名在年级前列；</w:t>
            </w:r>
          </w:p>
          <w:p w:rsidR="00D32D39" w:rsidRDefault="00D32D39" w:rsidP="003756B7">
            <w:pPr>
              <w:numPr>
                <w:ilvl w:val="0"/>
                <w:numId w:val="2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有严明的学习纪律，无被取消考试资格的学生，无因学业达不到基本要求而降级、退学的学生；</w:t>
            </w:r>
          </w:p>
          <w:p w:rsidR="00D32D39" w:rsidRDefault="00D32D39" w:rsidP="003756B7">
            <w:pPr>
              <w:numPr>
                <w:ilvl w:val="0"/>
                <w:numId w:val="2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有课外学习小组。</w:t>
            </w:r>
          </w:p>
        </w:tc>
      </w:tr>
      <w:tr w:rsidR="00D32D39" w:rsidTr="003756B7">
        <w:trPr>
          <w:trHeight w:val="963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三、组织制度建设</w:t>
            </w:r>
          </w:p>
          <w:p w:rsidR="00D32D39" w:rsidRDefault="00D32D39" w:rsidP="003756B7">
            <w:pPr>
              <w:spacing w:line="220" w:lineRule="exact"/>
              <w:ind w:firstLineChars="200" w:firstLine="482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15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3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班级组织健全，制度完善，工作得力，号召力强；</w:t>
            </w:r>
          </w:p>
          <w:p w:rsidR="00D32D39" w:rsidRDefault="00D32D39" w:rsidP="003756B7">
            <w:pPr>
              <w:numPr>
                <w:ilvl w:val="0"/>
                <w:numId w:val="3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班级凝聚力较强，能发挥骨干的先锋模范作用；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能自觉抵制各种不正确的思想倾向。</w:t>
            </w:r>
          </w:p>
        </w:tc>
      </w:tr>
      <w:tr w:rsidR="00D32D39" w:rsidTr="003756B7">
        <w:trPr>
          <w:trHeight w:val="1406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四、校园道德文明</w:t>
            </w:r>
          </w:p>
          <w:p w:rsidR="00D32D39" w:rsidRDefault="00D32D39" w:rsidP="003756B7">
            <w:pPr>
              <w:spacing w:line="220" w:lineRule="exact"/>
              <w:ind w:firstLineChars="200" w:firstLine="482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建设（</w:t>
            </w:r>
            <w:r>
              <w:rPr>
                <w:rFonts w:eastAsia="仿宋" w:hint="eastAsia"/>
                <w:b/>
                <w:color w:val="000000"/>
                <w:sz w:val="24"/>
              </w:rPr>
              <w:t>15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5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积极参与校园道德文明建设，遵纪守法、遵守校纪校规，无违纪现象；</w:t>
            </w:r>
          </w:p>
          <w:p w:rsidR="00D32D39" w:rsidRDefault="00D32D39" w:rsidP="003756B7">
            <w:pPr>
              <w:numPr>
                <w:ilvl w:val="0"/>
                <w:numId w:val="5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积极参与校园文明建设，自觉维护校园环境，积极参与校园文化活动，主动参与校园文明宣传；</w:t>
            </w:r>
          </w:p>
          <w:p w:rsidR="00D32D39" w:rsidRDefault="00D32D39" w:rsidP="003756B7">
            <w:pPr>
              <w:numPr>
                <w:ilvl w:val="0"/>
                <w:numId w:val="5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班级同学讲文明、讲道德，自觉维护校园秩序。</w:t>
            </w:r>
          </w:p>
        </w:tc>
      </w:tr>
      <w:tr w:rsidR="00D32D39" w:rsidTr="003756B7">
        <w:trPr>
          <w:trHeight w:val="1299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ind w:left="482" w:hangingChars="200" w:hanging="482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五、课外科技活动和文体活动（</w:t>
            </w:r>
            <w:r>
              <w:rPr>
                <w:rFonts w:eastAsia="仿宋" w:hint="eastAsia"/>
                <w:b/>
                <w:sz w:val="24"/>
              </w:rPr>
              <w:t>20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积极参加课外科技活动，组建课外科技小组；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经常开展各种有意义的活动，促进学生素质的全面发展；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积极参加课外活动，宿舍达标率高于</w:t>
            </w:r>
            <w:r>
              <w:rPr>
                <w:rFonts w:eastAsia="仿宋" w:hint="eastAsia"/>
                <w:sz w:val="24"/>
              </w:rPr>
              <w:t>90%</w:t>
            </w:r>
            <w:r>
              <w:rPr>
                <w:rFonts w:eastAsia="仿宋" w:hint="eastAsia"/>
                <w:sz w:val="24"/>
              </w:rPr>
              <w:t>。</w:t>
            </w:r>
          </w:p>
        </w:tc>
      </w:tr>
      <w:tr w:rsidR="00D32D39" w:rsidTr="003756B7">
        <w:trPr>
          <w:trHeight w:val="1233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ind w:left="482" w:hangingChars="200" w:hanging="482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六、作品展示效果（</w:t>
            </w:r>
            <w:r>
              <w:rPr>
                <w:rFonts w:eastAsia="仿宋" w:hint="eastAsia"/>
                <w:b/>
                <w:sz w:val="24"/>
              </w:rPr>
              <w:t>4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班级成员积极参加第一部分的作品创作；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班级作品被所在院（系）推荐参加统一展出；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作品主题明确、有特色、有亮点。</w:t>
            </w:r>
          </w:p>
        </w:tc>
      </w:tr>
      <w:tr w:rsidR="00D32D39" w:rsidTr="003756B7">
        <w:trPr>
          <w:trHeight w:val="1526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ind w:left="482" w:hangingChars="200" w:hanging="482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七、现场展示效果</w:t>
            </w:r>
          </w:p>
          <w:p w:rsidR="00D32D39" w:rsidRDefault="00D32D39" w:rsidP="003756B7">
            <w:pPr>
              <w:spacing w:line="220" w:lineRule="exact"/>
              <w:ind w:leftChars="229" w:left="481"/>
              <w:jc w:val="lef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5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6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展示材料内容充分、详实，结构清晰，重点突出，有班级特色；</w:t>
            </w:r>
          </w:p>
          <w:p w:rsidR="00D32D39" w:rsidRDefault="00D32D39" w:rsidP="003756B7">
            <w:pPr>
              <w:numPr>
                <w:ilvl w:val="0"/>
                <w:numId w:val="6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班级同学参与度高、班级整体配合好；</w:t>
            </w:r>
          </w:p>
          <w:p w:rsidR="00D32D39" w:rsidRDefault="00D32D39" w:rsidP="003756B7">
            <w:pPr>
              <w:numPr>
                <w:ilvl w:val="0"/>
                <w:numId w:val="4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观众反应热烈。</w:t>
            </w:r>
          </w:p>
        </w:tc>
      </w:tr>
      <w:tr w:rsidR="00D32D39" w:rsidTr="003756B7">
        <w:trPr>
          <w:trHeight w:val="1179"/>
        </w:trPr>
        <w:tc>
          <w:tcPr>
            <w:tcW w:w="2161" w:type="dxa"/>
            <w:vAlign w:val="center"/>
          </w:tcPr>
          <w:p w:rsidR="00D32D39" w:rsidRDefault="00D32D39" w:rsidP="003756B7">
            <w:pPr>
              <w:spacing w:line="220" w:lineRule="exact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八、答辩效果</w:t>
            </w:r>
          </w:p>
          <w:p w:rsidR="00D32D39" w:rsidRDefault="00D32D39" w:rsidP="003756B7">
            <w:pPr>
              <w:spacing w:line="220" w:lineRule="exact"/>
              <w:jc w:val="center"/>
              <w:rPr>
                <w:rFonts w:eastAsia="仿宋" w:hint="eastAsia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（</w:t>
            </w:r>
            <w:r>
              <w:rPr>
                <w:rFonts w:eastAsia="仿宋" w:hint="eastAsia"/>
                <w:b/>
                <w:sz w:val="24"/>
              </w:rPr>
              <w:t>5</w:t>
            </w:r>
            <w:r>
              <w:rPr>
                <w:rFonts w:eastAsia="仿宋" w:hint="eastAsia"/>
                <w:b/>
                <w:sz w:val="24"/>
              </w:rPr>
              <w:t>分）</w:t>
            </w:r>
          </w:p>
        </w:tc>
        <w:tc>
          <w:tcPr>
            <w:tcW w:w="6947" w:type="dxa"/>
            <w:vAlign w:val="center"/>
          </w:tcPr>
          <w:p w:rsidR="00D32D39" w:rsidRDefault="00D32D39" w:rsidP="003756B7">
            <w:pPr>
              <w:numPr>
                <w:ilvl w:val="0"/>
                <w:numId w:val="6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答辩人员衣着整齐、举止大方、台风得体；</w:t>
            </w:r>
          </w:p>
          <w:p w:rsidR="00D32D39" w:rsidRDefault="00D32D39" w:rsidP="003756B7">
            <w:pPr>
              <w:numPr>
                <w:ilvl w:val="0"/>
                <w:numId w:val="6"/>
              </w:numPr>
              <w:tabs>
                <w:tab w:val="left" w:pos="420"/>
              </w:tabs>
              <w:spacing w:line="220" w:lineRule="exact"/>
              <w:rPr>
                <w:rFonts w:eastAsia="仿宋" w:hint="eastAsia"/>
                <w:sz w:val="24"/>
              </w:rPr>
            </w:pPr>
            <w:r>
              <w:rPr>
                <w:rFonts w:eastAsia="仿宋" w:hint="eastAsia"/>
                <w:sz w:val="24"/>
              </w:rPr>
              <w:t>答辩人员能圆满回答提问，思维敏捷，有较强的应变能力，且注重团队配合。</w:t>
            </w:r>
          </w:p>
        </w:tc>
      </w:tr>
    </w:tbl>
    <w:p w:rsidR="00D32D39" w:rsidRDefault="00D32D39" w:rsidP="00D32D39">
      <w:pPr>
        <w:spacing w:line="360" w:lineRule="auto"/>
        <w:jc w:val="left"/>
        <w:rPr>
          <w:rFonts w:eastAsia="华文中宋" w:hint="eastAsia"/>
          <w:b/>
          <w:bCs/>
          <w:sz w:val="24"/>
        </w:rPr>
        <w:sectPr w:rsidR="00D32D39">
          <w:pgSz w:w="11906" w:h="16838"/>
          <w:pgMar w:top="1077" w:right="1418" w:bottom="1021" w:left="1418" w:header="567" w:footer="737" w:gutter="113"/>
          <w:cols w:space="720"/>
          <w:docGrid w:type="lines" w:linePitch="312"/>
        </w:sectPr>
      </w:pPr>
    </w:p>
    <w:p w:rsidR="009E529B" w:rsidRPr="00D32D39" w:rsidRDefault="00E76072" w:rsidP="00D32D39">
      <w:bookmarkStart w:id="0" w:name="_GoBack"/>
      <w:bookmarkEnd w:id="0"/>
      <w:r w:rsidRPr="00D32D39">
        <w:rPr>
          <w:rFonts w:hint="eastAsia"/>
        </w:rPr>
        <w:lastRenderedPageBreak/>
        <w:t xml:space="preserve"> </w:t>
      </w:r>
    </w:p>
    <w:sectPr w:rsidR="009E529B" w:rsidRPr="00D3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F5" w:rsidRDefault="002149F5" w:rsidP="00E76072">
      <w:r>
        <w:separator/>
      </w:r>
    </w:p>
  </w:endnote>
  <w:endnote w:type="continuationSeparator" w:id="0">
    <w:p w:rsidR="002149F5" w:rsidRDefault="002149F5" w:rsidP="00E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F5" w:rsidRDefault="002149F5" w:rsidP="00E76072">
      <w:r>
        <w:separator/>
      </w:r>
    </w:p>
  </w:footnote>
  <w:footnote w:type="continuationSeparator" w:id="0">
    <w:p w:rsidR="002149F5" w:rsidRDefault="002149F5" w:rsidP="00E76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9F"/>
    <w:rsid w:val="002149F5"/>
    <w:rsid w:val="00503977"/>
    <w:rsid w:val="00865F9F"/>
    <w:rsid w:val="009C65F2"/>
    <w:rsid w:val="00D32D39"/>
    <w:rsid w:val="00E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072"/>
    <w:rPr>
      <w:sz w:val="18"/>
      <w:szCs w:val="18"/>
    </w:rPr>
  </w:style>
  <w:style w:type="table" w:styleId="a5">
    <w:name w:val="Table Grid"/>
    <w:basedOn w:val="a1"/>
    <w:rsid w:val="00E760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0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072"/>
    <w:rPr>
      <w:sz w:val="18"/>
      <w:szCs w:val="18"/>
    </w:rPr>
  </w:style>
  <w:style w:type="table" w:styleId="a5">
    <w:name w:val="Table Grid"/>
    <w:basedOn w:val="a1"/>
    <w:rsid w:val="00E760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2018-10-09T14:30:00Z</dcterms:created>
  <dcterms:modified xsi:type="dcterms:W3CDTF">2018-10-09T14:30:00Z</dcterms:modified>
</cp:coreProperties>
</file>